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28 января 2021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6"/>
          <w:szCs w:val="26"/>
          <w:lang w:eastAsia="ru-RU"/>
        </w:rPr>
        <w:t>Росреестр будет развивать программу по цифровой трансформации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Росреестр проведет комплексную цифровую трансформацию, сообщила 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заместитель руководителя ведомства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>Елена Мартынова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6"/>
          <w:szCs w:val="26"/>
          <w:lang w:eastAsia="ru-RU"/>
        </w:rPr>
        <w:t>"В рамках ведомственной программы цифровой трансформации Росреестра будет проведен реинжиниринг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- сказала Мартынова.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специализированный план по наполнению ЕГРН сведениями. Данная задача является приоритетной для ведомства, считает замглавы Росреестра.</w:t>
        <w:br/>
        <w:br/>
      </w:r>
      <w:r>
        <w:rPr>
          <w:rFonts w:ascii="Times New Roman" w:cs="Times New Roman" w:eastAsia="Times New Roman" w:hAnsi="Times New Roman"/>
          <w:color w:val="000000"/>
          <w:sz w:val="26"/>
          <w:szCs w:val="26"/>
          <w:shd w:fill="FFFFFF" w:val="clear"/>
          <w:lang w:eastAsia="ru-RU"/>
        </w:rPr>
        <w:t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госкорпорации "Роскосмос", а также информационные системы региональных органов исполнительной власти. Пилотный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8192" w:linePitch="360" w:type="default"/>
        </w:sect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Росреестр организовал онлайн-обучение на базе Университета "Иннополис"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уровня компетенций сотрудников территориальных органов ведомства. По результатам тестирования определят программы обучения и повышения квалификации.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Кроме того, по словам Мартыновой,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Помимо этого,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Замглавы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Также, по ее словам, в рамках реинжиниринга сайта Росреестра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Мартынова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"Иннополис" в Татарстане.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0" w:before="0" w:line="27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 xml:space="preserve">В свою очередь 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руководитель технологической практики KPMG в России и СНГ Николай Легкодимов 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подчеркнул, что Росреестр за последние полгода провел значительную работу по стратегическому развитию и цифровизации.</w:t>
      </w:r>
    </w:p>
    <w:p>
      <w:pPr>
        <w:pStyle w:val="style0"/>
        <w:shd w:fill="FFFFFF" w:val="clear"/>
        <w:spacing w:after="0" w:before="0" w:line="276" w:lineRule="auto"/>
        <w:jc w:val="both"/>
      </w:pPr>
      <w:r>
        <w:rPr/>
      </w:r>
    </w:p>
    <w:p>
      <w:pPr>
        <w:pStyle w:val="style0"/>
        <w:shd w:fill="FFFFFF" w:val="clear"/>
        <w:spacing w:after="160" w:before="0" w:line="276" w:lineRule="auto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6"/>
          <w:szCs w:val="26"/>
          <w:lang w:eastAsia="ru-RU"/>
        </w:rPr>
        <w:t>"В России работа по переводу государственных услуг в онлайн началась задолго до событий уходящего года. Сегодня деятельность все большего количества госорганов становится эффективной и клиентоориентированной,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>
        <w:rPr>
          <w:rFonts w:ascii="Times New Roman" w:cs="Times New Roman" w:eastAsia="Times New Roman" w:hAnsi="Times New Roman"/>
          <w:color w:val="000000"/>
          <w:sz w:val="26"/>
          <w:szCs w:val="26"/>
          <w:lang w:eastAsia="ru-RU"/>
        </w:rPr>
        <w:t>- сказал Легкодимов.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2021-01-29T04:15:00.00Z</dcterms:created>
  <dc:creator>Никитина Ольга Александровна</dc:creator>
  <cp:lastModifiedBy>Говорова Елена Геннадиевна</cp:lastModifiedBy>
  <dcterms:modified xsi:type="dcterms:W3CDTF">2021-01-29T04:15:00.00Z</dcterms:modified>
  <cp:revision>2</cp:revision>
</cp:coreProperties>
</file>